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32"/>
          <w:szCs w:val="32"/>
        </w:rPr>
        <w:t xml:space="preserve">BABY-I</w:t>
      </w:r>
    </w:p>
    <w:p>
      <w:pPr>
        <w:spacing w:after="200"/>
        <w:jc w:val="center"/>
      </w:pPr>
      <w:r>
        <w:rPr>
          <w:i/>
          <w:iCs/>
          <w:sz w:val="20"/>
          <w:szCs w:val="20"/>
        </w:rPr>
        <w:t xml:space="preserve">Infant Abandonment Prevention Initiative</w:t>
      </w:r>
    </w:p>
    <w:p>
      <w:pPr>
        <w:spacing w:after="200"/>
        <w:jc w:val="center"/>
      </w:pPr>
      <w:r>
        <w:rPr>
          <w:b/>
          <w:bCs/>
          <w:sz w:val="26"/>
          <w:szCs w:val="26"/>
        </w:rPr>
        <w:t xml:space="preserve">SAFEGUARDING ADULTS AT RISK POLICY</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700"/>
        <w:gridCol w:w="6700"/>
      </w:tblGrid>
      <w:tr>
        <w:tc>
          <w:tcPr>
            <w:tcW w:type="dxa" w:w="2700"/>
            <w:shd w:fill="F2F2F2" w:val="clear"/>
          </w:tcPr>
          <w:p>
            <w:r>
              <w:rPr>
                <w:b/>
                <w:bCs/>
                <w:sz w:val="20"/>
                <w:szCs w:val="20"/>
              </w:rPr>
              <w:t xml:space="preserve">Document Owner</w:t>
            </w:r>
          </w:p>
        </w:tc>
        <w:tc>
          <w:tcPr>
            <w:tcW w:type="dxa" w:w="6700"/>
          </w:tcPr>
          <w:p>
            <w:r>
              <w:rPr>
                <w:sz w:val="20"/>
                <w:szCs w:val="20"/>
              </w:rPr>
              <w:t xml:space="preserve">Ebere – Compliance/GRC Officer &amp; Trustee (Governance, Compliance and Operations)</w:t>
            </w:r>
          </w:p>
        </w:tc>
      </w:tr>
      <w:tr>
        <w:tc>
          <w:tcPr>
            <w:tcW w:type="dxa" w:w="2700"/>
            <w:shd w:fill="F2F2F2" w:val="clear"/>
          </w:tcPr>
          <w:p>
            <w:r>
              <w:rPr>
                <w:b/>
                <w:bCs/>
                <w:sz w:val="20"/>
                <w:szCs w:val="20"/>
              </w:rPr>
              <w:t xml:space="preserve">Approved By</w:t>
            </w:r>
          </w:p>
        </w:tc>
        <w:tc>
          <w:tcPr>
            <w:tcW w:type="dxa" w:w="6700"/>
          </w:tcPr>
          <w:p>
            <w:r>
              <w:rPr>
                <w:sz w:val="20"/>
                <w:szCs w:val="20"/>
              </w:rPr>
              <w:t xml:space="preserve">BABY-I Board of Trustees (collectively)</w:t>
            </w:r>
          </w:p>
        </w:tc>
      </w:tr>
      <w:tr>
        <w:tc>
          <w:tcPr>
            <w:tcW w:type="dxa" w:w="2700"/>
            <w:shd w:fill="F2F2F2" w:val="clear"/>
          </w:tcPr>
          <w:p>
            <w:r>
              <w:rPr>
                <w:b/>
                <w:bCs/>
                <w:sz w:val="20"/>
                <w:szCs w:val="20"/>
              </w:rPr>
              <w:t xml:space="preserve">Version</w:t>
            </w:r>
          </w:p>
        </w:tc>
        <w:tc>
          <w:tcPr>
            <w:tcW w:type="dxa" w:w="6700"/>
          </w:tcPr>
          <w:p>
            <w:r>
              <w:rPr>
                <w:sz w:val="20"/>
                <w:szCs w:val="20"/>
              </w:rPr>
              <w:t xml:space="preserve">1.0</w:t>
            </w:r>
          </w:p>
        </w:tc>
      </w:tr>
      <w:tr>
        <w:tc>
          <w:tcPr>
            <w:tcW w:type="dxa" w:w="2700"/>
            <w:shd w:fill="F2F2F2" w:val="clear"/>
          </w:tcPr>
          <w:p>
            <w:r>
              <w:rPr>
                <w:b/>
                <w:bCs/>
                <w:sz w:val="20"/>
                <w:szCs w:val="20"/>
              </w:rPr>
              <w:t xml:space="preserve">Status</w:t>
            </w:r>
          </w:p>
        </w:tc>
        <w:tc>
          <w:tcPr>
            <w:tcW w:type="dxa" w:w="6700"/>
          </w:tcPr>
          <w:p>
            <w:r>
              <w:rPr>
                <w:sz w:val="20"/>
                <w:szCs w:val="20"/>
              </w:rPr>
              <w:t xml:space="preserve">Draft – pending trustee adoption</w:t>
            </w:r>
          </w:p>
        </w:tc>
      </w:tr>
      <w:tr>
        <w:tc>
          <w:tcPr>
            <w:tcW w:type="dxa" w:w="2700"/>
            <w:shd w:fill="F2F2F2" w:val="clear"/>
          </w:tcPr>
          <w:p>
            <w:r>
              <w:rPr>
                <w:b/>
                <w:bCs/>
                <w:sz w:val="20"/>
                <w:szCs w:val="20"/>
              </w:rPr>
              <w:t xml:space="preserve">Date Adopted</w:t>
            </w:r>
          </w:p>
        </w:tc>
        <w:tc>
          <w:tcPr>
            <w:tcW w:type="dxa" w:w="6700"/>
          </w:tcPr>
          <w:p>
            <w:r>
              <w:rPr>
                <w:sz w:val="20"/>
                <w:szCs w:val="20"/>
              </w:rPr>
              <w:t xml:space="preserve">[Awaiting trustee meeting resolution]</w:t>
            </w:r>
          </w:p>
        </w:tc>
      </w:tr>
      <w:tr>
        <w:tc>
          <w:tcPr>
            <w:tcW w:type="dxa" w:w="2700"/>
            <w:shd w:fill="F2F2F2" w:val="clear"/>
          </w:tcPr>
          <w:p>
            <w:r>
              <w:rPr>
                <w:b/>
                <w:bCs/>
                <w:sz w:val="20"/>
                <w:szCs w:val="20"/>
              </w:rPr>
              <w:t xml:space="preserve">Next Review Date</w:t>
            </w:r>
          </w:p>
        </w:tc>
        <w:tc>
          <w:tcPr>
            <w:tcW w:type="dxa" w:w="6700"/>
          </w:tcPr>
          <w:p>
            <w:r>
              <w:rPr>
                <w:sz w:val="20"/>
                <w:szCs w:val="20"/>
              </w:rPr>
              <w:t xml:space="preserve">[12 months from adoption]</w:t>
            </w:r>
          </w:p>
        </w:tc>
      </w:tr>
      <w:tr>
        <w:tc>
          <w:tcPr>
            <w:tcW w:type="dxa" w:w="2700"/>
            <w:shd w:fill="F2F2F2" w:val="clear"/>
          </w:tcPr>
          <w:p>
            <w:r>
              <w:rPr>
                <w:b/>
                <w:bCs/>
                <w:sz w:val="20"/>
                <w:szCs w:val="20"/>
              </w:rPr>
              <w:t xml:space="preserve">Applies To</w:t>
            </w:r>
          </w:p>
        </w:tc>
        <w:tc>
          <w:tcPr>
            <w:tcW w:type="dxa" w:w="6700"/>
          </w:tcPr>
          <w:p>
            <w:r>
              <w:rPr>
                <w:sz w:val="20"/>
                <w:szCs w:val="20"/>
              </w:rPr>
              <w:t xml:space="preserve">All trustees, staff, volunteers, and anyone acting on behalf of BABY-I</w:t>
            </w:r>
          </w:p>
        </w:tc>
      </w:tr>
    </w:tbl>
    <w:p>
      <w:pPr>
        <w:spacing w:after="20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shd w:fill="EAF1F8" w:val="clear"/>
          </w:tcPr>
          <w:p>
            <w:pPr>
              <w:spacing w:after="60"/>
            </w:pPr>
            <w:r>
              <w:rPr>
                <w:b/>
                <w:bCs/>
                <w:color w:val="1F4E79"/>
                <w:sz w:val="21"/>
                <w:szCs w:val="21"/>
              </w:rPr>
              <w:t xml:space="preserve">In short:</w:t>
            </w:r>
          </w:p>
          <w:p>
            <w:r>
              <w:rPr>
                <w:i/>
                <w:iCs/>
                <w:sz w:val="21"/>
                <w:szCs w:val="21"/>
              </w:rPr>
              <w:t xml:space="preserve">This sets out how BABY-I recognises and responds to concerns about a vulnerable adult, particularly mothers in crisis, alongside our duty to protect any infant involved.</w:t>
            </w:r>
          </w:p>
        </w:tc>
      </w:tr>
    </w:tbl>
    <w:p>
      <w:pPr>
        <w:spacing w:after="100"/>
      </w:pPr>
    </w:p>
    <w:p>
      <w:pPr>
        <w:spacing w:after="120" w:before="260"/>
      </w:pPr>
      <w:r>
        <w:rPr>
          <w:b/>
          <w:bCs/>
          <w:sz w:val="26"/>
          <w:szCs w:val="26"/>
        </w:rPr>
        <w:t xml:space="preserve">1. Policy Statement</w:t>
      </w:r>
    </w:p>
    <w:p>
      <w:pPr>
        <w:spacing w:after="120"/>
      </w:pPr>
      <w:r>
        <w:rPr>
          <w:sz w:val="21"/>
          <w:szCs w:val="21"/>
        </w:rPr>
        <w:t xml:space="preserve">BABY-I is committed to safeguarding adults at risk, particularly mothers facing neonatal crisis, who may be vulnerable by reason of their circumstances, mental health, isolation, or exposure to abuse. This policy sets out how BABY-I recognises and responds to concerns about an adult at risk, in a way that is consistent with BABY-I's role as a signposting, education, and referral organisation.</w:t>
      </w:r>
    </w:p>
    <w:p>
      <w:pPr>
        <w:spacing w:after="120"/>
      </w:pPr>
      <w:r>
        <w:rPr>
          <w:sz w:val="21"/>
          <w:szCs w:val="21"/>
        </w:rPr>
        <w:t xml:space="preserve">This policy sits alongside the Safeguarding Children Policy. Where a concern involves both a mother and her infant, the infant's safety takes priority, but the mother's welfare and safety must not be overlooked.</w:t>
      </w:r>
    </w:p>
    <w:p>
      <w:pPr>
        <w:spacing w:after="120" w:before="260"/>
      </w:pPr>
      <w:r>
        <w:rPr>
          <w:b/>
          <w:bCs/>
          <w:sz w:val="26"/>
          <w:szCs w:val="26"/>
        </w:rPr>
        <w:t xml:space="preserve">2. Who This Policy Protects</w:t>
      </w:r>
    </w:p>
    <w:p>
      <w:pPr>
        <w:spacing w:after="120"/>
      </w:pPr>
      <w:r>
        <w:rPr>
          <w:sz w:val="21"/>
          <w:szCs w:val="21"/>
        </w:rPr>
        <w:t xml:space="preserve">For the purposes of this policy, an "adult at risk" is a person aged 18 or over who may be experiencing, or be at risk of, abuse, neglect, or harm because of their circumstances, and who may have limited capacity or ability to protect themselves. In BABY-I's context, this typically means:</w:t>
      </w:r>
    </w:p>
    <w:p>
      <w:pPr>
        <w:pStyle w:val="ListParagraph"/>
        <w:numPr>
          <w:ilvl w:val="0"/>
          <w:numId w:val="2"/>
        </w:numPr>
        <w:spacing w:after="80"/>
      </w:pPr>
      <w:r>
        <w:t xml:space="preserve">A pregnant person or new mother in acute crisis, including those considering concealment or abandonment of an infant.</w:t>
      </w:r>
    </w:p>
    <w:p>
      <w:pPr>
        <w:pStyle w:val="ListParagraph"/>
        <w:numPr>
          <w:ilvl w:val="0"/>
          <w:numId w:val="2"/>
        </w:numPr>
        <w:spacing w:after="80"/>
      </w:pPr>
      <w:r>
        <w:t xml:space="preserve">A mother experiencing domestic abuse, coercive control, homelessness, or severe social isolation.</w:t>
      </w:r>
    </w:p>
    <w:p>
      <w:pPr>
        <w:pStyle w:val="ListParagraph"/>
        <w:numPr>
          <w:ilvl w:val="0"/>
          <w:numId w:val="2"/>
        </w:numPr>
        <w:spacing w:after="80"/>
      </w:pPr>
      <w:r>
        <w:t xml:space="preserve">A mother whose presentation suggests postpartum psychosis, severe postnatal depression, or another acute mental health crisis.</w:t>
      </w:r>
    </w:p>
    <w:p>
      <w:pPr>
        <w:pStyle w:val="ListParagraph"/>
        <w:numPr>
          <w:ilvl w:val="0"/>
          <w:numId w:val="2"/>
        </w:numPr>
        <w:spacing w:after="80"/>
      </w:pPr>
      <w:r>
        <w:t xml:space="preserve">Any other adult beneficiary who discloses harm, risk of harm, or an inability to keep themselves safe.</w:t>
      </w:r>
    </w:p>
    <w:p>
      <w:pPr>
        <w:spacing w:after="120" w:before="260"/>
      </w:pPr>
      <w:r>
        <w:rPr>
          <w:b/>
          <w:bCs/>
          <w:sz w:val="26"/>
          <w:szCs w:val="26"/>
        </w:rPr>
        <w:t xml:space="preserve">3. What BABY-I Does and Does Not Do</w:t>
      </w:r>
    </w:p>
    <w:p>
      <w:pPr>
        <w:spacing w:after="80" w:before="160"/>
      </w:pPr>
      <w:r>
        <w:rPr>
          <w:b/>
          <w:bCs/>
          <w:sz w:val="22"/>
          <w:szCs w:val="22"/>
        </w:rPr>
        <w:t xml:space="preserve">3.1 BABY-I Does:</w:t>
      </w:r>
    </w:p>
    <w:p>
      <w:pPr>
        <w:pStyle w:val="ListParagraph"/>
        <w:numPr>
          <w:ilvl w:val="0"/>
          <w:numId w:val="2"/>
        </w:numPr>
        <w:spacing w:after="80"/>
      </w:pPr>
      <w:r>
        <w:t xml:space="preserve">Listen without judgement and take every disclosure seriously.</w:t>
      </w:r>
    </w:p>
    <w:p>
      <w:pPr>
        <w:pStyle w:val="ListParagraph"/>
        <w:numPr>
          <w:ilvl w:val="0"/>
          <w:numId w:val="2"/>
        </w:numPr>
        <w:spacing w:after="80"/>
      </w:pPr>
      <w:r>
        <w:t xml:space="preserve">Signpost and refer to statutory and specialist services: mental health crisis teams, GPs, domestic abuse services, housing, and social care.</w:t>
      </w:r>
    </w:p>
    <w:p>
      <w:pPr>
        <w:pStyle w:val="ListParagraph"/>
        <w:numPr>
          <w:ilvl w:val="0"/>
          <w:numId w:val="2"/>
        </w:numPr>
        <w:spacing w:after="80"/>
      </w:pPr>
      <w:r>
        <w:t xml:space="preserve">Provide a callback helpline and follow-up contact where the caller consents.</w:t>
      </w:r>
    </w:p>
    <w:p>
      <w:pPr>
        <w:pStyle w:val="ListParagraph"/>
        <w:numPr>
          <w:ilvl w:val="0"/>
          <w:numId w:val="2"/>
        </w:numPr>
        <w:spacing w:after="80"/>
      </w:pPr>
      <w:r>
        <w:t xml:space="preserve">Escalate immediately where there is risk to life.</w:t>
      </w:r>
    </w:p>
    <w:p>
      <w:pPr>
        <w:spacing w:after="80" w:before="160"/>
      </w:pPr>
      <w:r>
        <w:rPr>
          <w:b/>
          <w:bCs/>
          <w:sz w:val="22"/>
          <w:szCs w:val="22"/>
        </w:rPr>
        <w:t xml:space="preserve">3.2 BABY-I Does Not:</w:t>
      </w:r>
    </w:p>
    <w:p>
      <w:pPr>
        <w:pStyle w:val="ListParagraph"/>
        <w:numPr>
          <w:ilvl w:val="0"/>
          <w:numId w:val="2"/>
        </w:numPr>
        <w:spacing w:after="80"/>
      </w:pPr>
      <w:r>
        <w:t xml:space="preserve">Provide clinical, therapeutic, or crisis mental health treatment.</w:t>
      </w:r>
    </w:p>
    <w:p>
      <w:pPr>
        <w:pStyle w:val="ListParagraph"/>
        <w:numPr>
          <w:ilvl w:val="0"/>
          <w:numId w:val="2"/>
        </w:numPr>
        <w:spacing w:after="80"/>
      </w:pPr>
      <w:r>
        <w:t xml:space="preserve">Make capacity assessments or safeguarding adults referrals on behalf of a statutory body — BABY-I refers, statutory agencies assess and decide.</w:t>
      </w:r>
    </w:p>
    <w:p>
      <w:pPr>
        <w:pStyle w:val="ListParagraph"/>
        <w:numPr>
          <w:ilvl w:val="0"/>
          <w:numId w:val="2"/>
        </w:numPr>
        <w:spacing w:after="80"/>
      </w:pPr>
      <w:r>
        <w:t xml:space="preserve">Promise secrecy or confidentiality where there is risk to life or to an infant.</w:t>
      </w:r>
    </w:p>
    <w:p>
      <w:pPr>
        <w:pStyle w:val="ListParagraph"/>
        <w:numPr>
          <w:ilvl w:val="0"/>
          <w:numId w:val="2"/>
        </w:numPr>
        <w:spacing w:after="80"/>
      </w:pPr>
      <w:r>
        <w:t xml:space="preserve">Attempt to manage a mental health crisis alone rather than escalating it.</w:t>
      </w:r>
    </w:p>
    <w:p>
      <w:pPr>
        <w:spacing w:after="120" w:before="260"/>
      </w:pPr>
      <w:r>
        <w:rPr>
          <w:b/>
          <w:bCs/>
          <w:sz w:val="26"/>
          <w:szCs w:val="26"/>
        </w:rPr>
        <w:t xml:space="preserve">4. Legal and Policy Framework</w:t>
      </w:r>
    </w:p>
    <w:p>
      <w:pPr>
        <w:spacing w:after="120"/>
      </w:pPr>
      <w:r>
        <w:rPr>
          <w:sz w:val="21"/>
          <w:szCs w:val="21"/>
        </w:rPr>
        <w:t xml:space="preserve">This policy is written in accordance with:</w:t>
      </w:r>
    </w:p>
    <w:p>
      <w:pPr>
        <w:pStyle w:val="ListParagraph"/>
        <w:numPr>
          <w:ilvl w:val="0"/>
          <w:numId w:val="2"/>
        </w:numPr>
        <w:spacing w:after="80"/>
      </w:pPr>
      <w:r>
        <w:t xml:space="preserve">The Care Act 2014 (safeguarding adults framework)</w:t>
      </w:r>
    </w:p>
    <w:p>
      <w:pPr>
        <w:pStyle w:val="ListParagraph"/>
        <w:numPr>
          <w:ilvl w:val="0"/>
          <w:numId w:val="2"/>
        </w:numPr>
        <w:spacing w:after="80"/>
      </w:pPr>
      <w:r>
        <w:t xml:space="preserve">The Mental Capacity Act 2005</w:t>
      </w:r>
    </w:p>
    <w:p>
      <w:pPr>
        <w:pStyle w:val="ListParagraph"/>
        <w:numPr>
          <w:ilvl w:val="0"/>
          <w:numId w:val="2"/>
        </w:numPr>
        <w:spacing w:after="80"/>
      </w:pPr>
      <w:r>
        <w:t xml:space="preserve">UK GDPR and the Data Protection Act 2018</w:t>
      </w:r>
    </w:p>
    <w:p>
      <w:pPr>
        <w:pStyle w:val="ListParagraph"/>
        <w:numPr>
          <w:ilvl w:val="0"/>
          <w:numId w:val="2"/>
        </w:numPr>
        <w:spacing w:after="80"/>
      </w:pPr>
      <w:r>
        <w:t xml:space="preserve">Charity Commission guidance CC3 (The Essential Trustee)</w:t>
      </w:r>
    </w:p>
    <w:p>
      <w:pPr>
        <w:spacing w:after="120"/>
      </w:pPr>
      <w:r>
        <w:rPr>
          <w:sz w:val="21"/>
          <w:szCs w:val="21"/>
        </w:rPr>
        <w:t xml:space="preserve">This policy is read alongside the Safeguarding Children Policy, which takes precedence in any situation involving risk to an infant.</w:t>
      </w:r>
    </w:p>
    <w:p>
      <w:pPr>
        <w:spacing w:after="120" w:before="260"/>
      </w:pPr>
      <w:r>
        <w:rPr>
          <w:b/>
          <w:bCs/>
          <w:sz w:val="26"/>
          <w:szCs w:val="26"/>
        </w:rPr>
        <w:t xml:space="preserve">5. Roles and Responsibilities</w:t>
      </w:r>
    </w:p>
    <w:tbl>
      <w:tblPr>
        <w:tblW w:type="dxa" w:w="9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33"/>
        <w:gridCol w:w="3133"/>
        <w:gridCol w:w="3133"/>
      </w:tblGrid>
      <w:tr>
        <w:tc>
          <w:tcPr>
            <w:tcW w:type="dxa" w:w="3133"/>
            <w:shd w:fill="1F4E79" w:val="clear"/>
          </w:tcPr>
          <w:p>
            <w:r>
              <w:rPr>
                <w:b/>
                <w:bCs/>
                <w:color w:val="FFFFFF"/>
                <w:sz w:val="19"/>
                <w:szCs w:val="19"/>
              </w:rPr>
              <w:t xml:space="preserve">Role</w:t>
            </w:r>
          </w:p>
        </w:tc>
        <w:tc>
          <w:tcPr>
            <w:tcW w:type="dxa" w:w="3133"/>
            <w:shd w:fill="1F4E79" w:val="clear"/>
          </w:tcPr>
          <w:p>
            <w:r>
              <w:rPr>
                <w:b/>
                <w:bCs/>
                <w:color w:val="FFFFFF"/>
                <w:sz w:val="19"/>
                <w:szCs w:val="19"/>
              </w:rPr>
              <w:t xml:space="preserve">Named Person</w:t>
            </w:r>
          </w:p>
        </w:tc>
        <w:tc>
          <w:tcPr>
            <w:tcW w:type="dxa" w:w="3133"/>
            <w:shd w:fill="1F4E79" w:val="clear"/>
          </w:tcPr>
          <w:p>
            <w:r>
              <w:rPr>
                <w:b/>
                <w:bCs/>
                <w:color w:val="FFFFFF"/>
                <w:sz w:val="19"/>
                <w:szCs w:val="19"/>
              </w:rPr>
              <w:t xml:space="preserve">Responsibility</w:t>
            </w:r>
          </w:p>
        </w:tc>
      </w:tr>
      <w:tr>
        <w:tc>
          <w:tcPr>
            <w:tcW w:type="dxa" w:w="3133"/>
          </w:tcPr>
          <w:p>
            <w:r>
              <w:rPr>
                <w:sz w:val="19"/>
                <w:szCs w:val="19"/>
              </w:rPr>
              <w:t xml:space="preserve">Designated Safeguarding Lead (DSL)</w:t>
            </w:r>
          </w:p>
        </w:tc>
        <w:tc>
          <w:tcPr>
            <w:tcW w:type="dxa" w:w="3133"/>
          </w:tcPr>
          <w:p>
            <w:r>
              <w:rPr>
                <w:sz w:val="19"/>
                <w:szCs w:val="19"/>
              </w:rPr>
              <w:t xml:space="preserve">Mariama</w:t>
            </w:r>
          </w:p>
        </w:tc>
        <w:tc>
          <w:tcPr>
            <w:tcW w:type="dxa" w:w="3133"/>
          </w:tcPr>
          <w:p>
            <w:r>
              <w:rPr>
                <w:sz w:val="19"/>
                <w:szCs w:val="19"/>
              </w:rPr>
              <w:t xml:space="preserve">Oversight of routine safeguarding cases, including adults at risk; liaison with statutory agencies.</w:t>
            </w:r>
          </w:p>
        </w:tc>
      </w:tr>
      <w:tr>
        <w:tc>
          <w:tcPr>
            <w:tcW w:type="dxa" w:w="3133"/>
          </w:tcPr>
          <w:p>
            <w:r>
              <w:rPr>
                <w:sz w:val="19"/>
                <w:szCs w:val="19"/>
              </w:rPr>
              <w:t xml:space="preserve">Compliance/GRC Officer &amp; Trustee</w:t>
            </w:r>
          </w:p>
        </w:tc>
        <w:tc>
          <w:tcPr>
            <w:tcW w:type="dxa" w:w="3133"/>
          </w:tcPr>
          <w:p>
            <w:r>
              <w:rPr>
                <w:sz w:val="19"/>
                <w:szCs w:val="19"/>
              </w:rPr>
              <w:t xml:space="preserve">Ebere</w:t>
            </w:r>
          </w:p>
        </w:tc>
        <w:tc>
          <w:tcPr>
            <w:tcW w:type="dxa" w:w="3133"/>
          </w:tcPr>
          <w:p>
            <w:r>
              <w:rPr>
                <w:sz w:val="19"/>
                <w:szCs w:val="19"/>
              </w:rPr>
              <w:t xml:space="preserve">Policy oversight, review, and audit.</w:t>
            </w:r>
          </w:p>
        </w:tc>
      </w:tr>
      <w:tr>
        <w:tc>
          <w:tcPr>
            <w:tcW w:type="dxa" w:w="3133"/>
          </w:tcPr>
          <w:p>
            <w:r>
              <w:rPr>
                <w:sz w:val="19"/>
                <w:szCs w:val="19"/>
              </w:rPr>
              <w:t xml:space="preserve">Chair of Trustees</w:t>
            </w:r>
          </w:p>
        </w:tc>
        <w:tc>
          <w:tcPr>
            <w:tcW w:type="dxa" w:w="3133"/>
          </w:tcPr>
          <w:p>
            <w:r>
              <w:rPr>
                <w:sz w:val="19"/>
                <w:szCs w:val="19"/>
              </w:rPr>
              <w:t xml:space="preserve">Warda</w:t>
            </w:r>
          </w:p>
        </w:tc>
        <w:tc>
          <w:tcPr>
            <w:tcW w:type="dxa" w:w="3133"/>
          </w:tcPr>
          <w:p>
            <w:r>
              <w:rPr>
                <w:sz w:val="19"/>
                <w:szCs w:val="19"/>
              </w:rPr>
              <w:t xml:space="preserve">Overall accountability; decision-maker on serious incidents; Charity Commission liaison.</w:t>
            </w:r>
          </w:p>
        </w:tc>
      </w:tr>
    </w:tbl>
    <w:p>
      <w:pPr>
        <w:spacing w:after="100"/>
      </w:pPr>
    </w:p>
    <w:p>
      <w:pPr>
        <w:spacing w:after="120" w:before="260"/>
      </w:pPr>
      <w:r>
        <w:rPr>
          <w:b/>
          <w:bCs/>
          <w:sz w:val="26"/>
          <w:szCs w:val="26"/>
        </w:rPr>
        <w:t xml:space="preserve">6. Recognising a Concern</w:t>
      </w:r>
    </w:p>
    <w:p>
      <w:pPr>
        <w:spacing w:after="120"/>
      </w:pPr>
      <w:r>
        <w:rPr>
          <w:sz w:val="21"/>
          <w:szCs w:val="21"/>
        </w:rPr>
        <w:t xml:space="preserve">Volunteers and staff should be alert to signs including, but not limited to:</w:t>
      </w:r>
    </w:p>
    <w:p>
      <w:pPr>
        <w:pStyle w:val="ListParagraph"/>
        <w:numPr>
          <w:ilvl w:val="0"/>
          <w:numId w:val="2"/>
        </w:numPr>
        <w:spacing w:after="80"/>
      </w:pPr>
      <w:r>
        <w:t xml:space="preserve">Expressions of hopelessness, being overwhelmed, or having "no way out."</w:t>
      </w:r>
    </w:p>
    <w:p>
      <w:pPr>
        <w:pStyle w:val="ListParagraph"/>
        <w:numPr>
          <w:ilvl w:val="0"/>
          <w:numId w:val="2"/>
        </w:numPr>
        <w:spacing w:after="80"/>
      </w:pPr>
      <w:r>
        <w:t xml:space="preserve">Disclosure of domestic abuse, coercive control, or fear of a partner or family member.</w:t>
      </w:r>
    </w:p>
    <w:p>
      <w:pPr>
        <w:pStyle w:val="ListParagraph"/>
        <w:numPr>
          <w:ilvl w:val="0"/>
          <w:numId w:val="2"/>
        </w:numPr>
        <w:spacing w:after="80"/>
      </w:pPr>
      <w:r>
        <w:t xml:space="preserve">Signs of untreated or worsening mental health crisis, including confusion, delusional statements, or loss of touch with reality.</w:t>
      </w:r>
    </w:p>
    <w:p>
      <w:pPr>
        <w:pStyle w:val="ListParagraph"/>
        <w:numPr>
          <w:ilvl w:val="0"/>
          <w:numId w:val="2"/>
        </w:numPr>
        <w:spacing w:after="80"/>
      </w:pPr>
      <w:r>
        <w:t xml:space="preserve">Homelessness, housing instability, or lack of any support network.</w:t>
      </w:r>
    </w:p>
    <w:p>
      <w:pPr>
        <w:pStyle w:val="ListParagraph"/>
        <w:numPr>
          <w:ilvl w:val="0"/>
          <w:numId w:val="2"/>
        </w:numPr>
        <w:spacing w:after="80"/>
      </w:pPr>
      <w:r>
        <w:t xml:space="preserve">Disclosure of self-harm or suicidal thoughts.</w:t>
      </w:r>
    </w:p>
    <w:p>
      <w:pPr>
        <w:spacing w:after="120" w:before="260"/>
      </w:pPr>
      <w:r>
        <w:rPr>
          <w:b/>
          <w:bCs/>
          <w:sz w:val="26"/>
          <w:szCs w:val="26"/>
        </w:rPr>
        <w:t xml:space="preserve">7. What to Do if You Have a Concern</w:t>
      </w:r>
    </w:p>
    <w:p>
      <w:pPr>
        <w:pStyle w:val="ListParagraph"/>
        <w:numPr>
          <w:ilvl w:val="0"/>
          <w:numId w:val="2"/>
        </w:numPr>
        <w:spacing w:after="80"/>
      </w:pPr>
      <w:r>
        <w:t xml:space="preserve">Do not promise secrecy where there is risk to life. Explain calmly that safety comes first.</w:t>
      </w:r>
    </w:p>
    <w:p>
      <w:pPr>
        <w:pStyle w:val="ListParagraph"/>
        <w:numPr>
          <w:ilvl w:val="0"/>
          <w:numId w:val="2"/>
        </w:numPr>
        <w:spacing w:after="80"/>
      </w:pPr>
      <w:r>
        <w:t xml:space="preserve">If the person is in immediate danger to themselves or others, call 999 without delay.</w:t>
      </w:r>
    </w:p>
    <w:p>
      <w:pPr>
        <w:pStyle w:val="ListParagraph"/>
        <w:numPr>
          <w:ilvl w:val="0"/>
          <w:numId w:val="2"/>
        </w:numPr>
        <w:spacing w:after="80"/>
      </w:pPr>
      <w:r>
        <w:t xml:space="preserve">If there is no immediate danger but a concern exists, signpost to the appropriate service (GP, mental health crisis line, domestic abuse service, housing) and, where the concern is serious, contact adult social care.</w:t>
      </w:r>
    </w:p>
    <w:p>
      <w:pPr>
        <w:pStyle w:val="ListParagraph"/>
        <w:numPr>
          <w:ilvl w:val="0"/>
          <w:numId w:val="2"/>
        </w:numPr>
        <w:spacing w:after="80"/>
      </w:pPr>
      <w:r>
        <w:t xml:space="preserve">Inform the Designated Safeguarding Lead within 1 hour of the disclosure or concern arising.</w:t>
      </w:r>
    </w:p>
    <w:p>
      <w:pPr>
        <w:pStyle w:val="ListParagraph"/>
        <w:numPr>
          <w:ilvl w:val="0"/>
          <w:numId w:val="2"/>
        </w:numPr>
        <w:spacing w:after="80"/>
      </w:pPr>
      <w:r>
        <w:t xml:space="preserve">Do not attempt to manage a mental health crisis or an abuse disclosure alone. Escalate and support the person until appropriate help is engaged.</w:t>
      </w:r>
    </w:p>
    <w:p>
      <w:pPr>
        <w:pStyle w:val="ListParagraph"/>
        <w:numPr>
          <w:ilvl w:val="0"/>
          <w:numId w:val="2"/>
        </w:numPr>
        <w:spacing w:after="80"/>
      </w:pPr>
      <w:r>
        <w:t xml:space="preserve">Log the concern, the actions taken, and the outcome in the safeguarding incident record within 24 hours.</w:t>
      </w:r>
    </w:p>
    <w:p>
      <w:pPr>
        <w:spacing w:after="120" w:before="260"/>
      </w:pPr>
      <w:r>
        <w:rPr>
          <w:b/>
          <w:bCs/>
          <w:sz w:val="26"/>
          <w:szCs w:val="26"/>
        </w:rPr>
        <w:t xml:space="preserve">8. Consent and Capacity</w:t>
      </w:r>
    </w:p>
    <w:p>
      <w:pPr>
        <w:spacing w:after="120"/>
      </w:pPr>
      <w:r>
        <w:rPr>
          <w:sz w:val="21"/>
          <w:szCs w:val="21"/>
        </w:rPr>
        <w:t xml:space="preserve">Wherever possible, BABY-I seeks the person's consent before making a referral. Consent is not required, and information may be shared without it, where there is risk to life, risk to an infant, or reasonable concern that the person lacks capacity to make a safe decision for themselves. Any decision to share information without consent is recorded, along with the reasoning.</w:t>
      </w:r>
    </w:p>
    <w:p>
      <w:pPr>
        <w:spacing w:after="120" w:before="260"/>
      </w:pPr>
      <w:r>
        <w:rPr>
          <w:b/>
          <w:bCs/>
          <w:sz w:val="26"/>
          <w:szCs w:val="26"/>
        </w:rPr>
        <w:t xml:space="preserve">9. Confidentiality and Information Sharing</w:t>
      </w:r>
    </w:p>
    <w:p>
      <w:pPr>
        <w:spacing w:after="120"/>
      </w:pPr>
      <w:r>
        <w:rPr>
          <w:sz w:val="21"/>
          <w:szCs w:val="21"/>
        </w:rPr>
        <w:t xml:space="preserve">Information about a safeguarding concern is shared only with those who need to know, in line with the Data Protection Policy. Where there is risk to life or to an infant, the duty to safeguard overrides confidentiality.</w:t>
      </w:r>
    </w:p>
    <w:p>
      <w:pPr>
        <w:spacing w:after="120" w:before="260"/>
      </w:pPr>
      <w:r>
        <w:rPr>
          <w:b/>
          <w:bCs/>
          <w:sz w:val="26"/>
          <w:szCs w:val="26"/>
        </w:rPr>
        <w:t xml:space="preserve">10. Recording and Record-Keeping</w:t>
      </w:r>
    </w:p>
    <w:p>
      <w:pPr>
        <w:spacing w:after="120"/>
      </w:pPr>
      <w:r>
        <w:rPr>
          <w:sz w:val="21"/>
          <w:szCs w:val="21"/>
        </w:rPr>
        <w:t xml:space="preserve">All disclosures, concerns, and actions taken are recorded in the safeguarding incident log, regardless of outcome, and stored digitally and securely, in line with statutory retention requirements, accessible only to the Designated Safeguarding Lead and Chair of Trustees.</w:t>
      </w:r>
    </w:p>
    <w:p>
      <w:pPr>
        <w:spacing w:after="120" w:before="260"/>
      </w:pPr>
      <w:r>
        <w:rPr>
          <w:b/>
          <w:bCs/>
          <w:sz w:val="26"/>
          <w:szCs w:val="26"/>
        </w:rPr>
        <w:t xml:space="preserve">11. Serious Incident Reporting</w:t>
      </w:r>
    </w:p>
    <w:p>
      <w:pPr>
        <w:spacing w:after="120"/>
      </w:pPr>
      <w:r>
        <w:rPr>
          <w:sz w:val="21"/>
          <w:szCs w:val="21"/>
        </w:rPr>
        <w:t xml:space="preserve">Any incident meeting the Charity Commission's definition of a serious incident is reported to the Commission by the Chair of Trustees, supported by the Compliance/GRC Officer, without undue delay and in line with the Serious Incident Reporting Policy.</w:t>
      </w:r>
    </w:p>
    <w:p>
      <w:pPr>
        <w:spacing w:after="120" w:before="260"/>
      </w:pPr>
      <w:r>
        <w:rPr>
          <w:b/>
          <w:bCs/>
          <w:sz w:val="26"/>
          <w:szCs w:val="26"/>
        </w:rPr>
        <w:t xml:space="preserve">12. Related Policies</w:t>
      </w:r>
    </w:p>
    <w:p>
      <w:pPr>
        <w:pStyle w:val="ListParagraph"/>
        <w:numPr>
          <w:ilvl w:val="0"/>
          <w:numId w:val="2"/>
        </w:numPr>
        <w:spacing w:after="80"/>
      </w:pPr>
      <w:r>
        <w:t xml:space="preserve">Safeguarding Children Policy</w:t>
      </w:r>
    </w:p>
    <w:p>
      <w:pPr>
        <w:pStyle w:val="ListParagraph"/>
        <w:numPr>
          <w:ilvl w:val="0"/>
          <w:numId w:val="2"/>
        </w:numPr>
        <w:spacing w:after="80"/>
      </w:pPr>
      <w:r>
        <w:t xml:space="preserve">DBS / Recruitment in Regulated Activity Policy</w:t>
      </w:r>
    </w:p>
    <w:p>
      <w:pPr>
        <w:pStyle w:val="ListParagraph"/>
        <w:numPr>
          <w:ilvl w:val="0"/>
          <w:numId w:val="2"/>
        </w:numPr>
        <w:spacing w:after="80"/>
      </w:pPr>
      <w:r>
        <w:t xml:space="preserve">Whistleblowing Policy</w:t>
      </w:r>
    </w:p>
    <w:p>
      <w:pPr>
        <w:pStyle w:val="ListParagraph"/>
        <w:numPr>
          <w:ilvl w:val="0"/>
          <w:numId w:val="2"/>
        </w:numPr>
        <w:spacing w:after="80"/>
      </w:pPr>
      <w:r>
        <w:t xml:space="preserve">Data Protection Policy</w:t>
      </w:r>
    </w:p>
    <w:p>
      <w:pPr>
        <w:pStyle w:val="ListParagraph"/>
        <w:numPr>
          <w:ilvl w:val="0"/>
          <w:numId w:val="2"/>
        </w:numPr>
        <w:spacing w:after="80"/>
      </w:pPr>
      <w:r>
        <w:t xml:space="preserve">Complaints Policy &amp; Procedure</w:t>
      </w:r>
    </w:p>
    <w:p>
      <w:pPr>
        <w:pStyle w:val="ListParagraph"/>
        <w:numPr>
          <w:ilvl w:val="0"/>
          <w:numId w:val="2"/>
        </w:numPr>
        <w:spacing w:after="80"/>
      </w:pPr>
      <w:r>
        <w:t xml:space="preserve">Serious Incident Reporting Policy</w:t>
      </w:r>
    </w:p>
    <w:p>
      <w:pPr>
        <w:spacing w:after="120" w:before="260"/>
      </w:pPr>
      <w:r>
        <w:rPr>
          <w:b/>
          <w:bCs/>
          <w:sz w:val="26"/>
          <w:szCs w:val="26"/>
        </w:rPr>
        <w:t xml:space="preserve">13. Review</w:t>
      </w:r>
    </w:p>
    <w:p>
      <w:pPr>
        <w:spacing w:after="120"/>
      </w:pPr>
      <w:r>
        <w:rPr>
          <w:sz w:val="21"/>
          <w:szCs w:val="21"/>
        </w:rPr>
        <w:t xml:space="preserve">This policy is reviewed annually by the Board of Trustees, or sooner following any safeguarding incident, a change in relevant legislation, or a material change to BABY-I's activities. Review is led by the Compliance/GRC Officer and formally adopted by trustee resolution.</w:t>
      </w:r>
    </w:p>
    <w:p>
      <w:pPr>
        <w:spacing w:before="300"/>
      </w:pPr>
    </w:p>
    <w:p>
      <w:pPr>
        <w:pBdr>
          <w:top w:val="single" w:color="999999" w:sz="6" w:space="4"/>
        </w:pBdr>
        <w:spacing w:before="200"/>
      </w:pPr>
      <w:r>
        <w:t xml:space="preserve"/>
      </w:r>
    </w:p>
    <w:p>
      <w:pPr>
        <w:spacing w:before="200"/>
        <w:jc w:val="center"/>
      </w:pPr>
      <w:r>
        <w:rPr>
          <w:b/>
          <w:bCs/>
          <w:i/>
          <w:iCs/>
          <w:sz w:val="21"/>
          <w:szCs w:val="21"/>
        </w:rPr>
        <w:t xml:space="preserve">Collectively approved by the BABY-I Board of Trustees on [date]</w:t>
      </w:r>
    </w:p>
    <w:p>
      <w:pPr>
        <w:spacing w:before="300"/>
        <w:jc w:val="center"/>
      </w:pPr>
      <w:r>
        <w:rPr>
          <w:color w:val="808080"/>
          <w:sz w:val="16"/>
          <w:szCs w:val="16"/>
        </w:rPr>
        <w:t xml:space="preserve">BABY-I | Confidential</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2026-08-28T15:43:01.629Z</dcterms:created>
  <dcterms:modified xsi:type="dcterms:W3CDTF">2026-08-28T15:43:01.629Z</dcterms:modified>
</cp:coreProperties>
</file>

<file path=docProps/custom.xml><?xml version="1.0" encoding="utf-8"?>
<Properties xmlns="http://schemas.openxmlformats.org/officeDocument/2006/custom-properties" xmlns:vt="http://schemas.openxmlformats.org/officeDocument/2006/docPropsVTypes"/>
</file>